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/>
          <w:b/>
          <w:bCs/>
          <w:sz w:val="28"/>
          <w:szCs w:val="28"/>
        </w:rPr>
      </w:pPr>
      <w:bookmarkStart w:id="12" w:name="_GoBack"/>
      <w:bookmarkEnd w:id="12"/>
      <w:r>
        <w:rPr>
          <w:rFonts w:hint="eastAsia" w:ascii="宋体" w:hAnsi="宋体"/>
          <w:b/>
          <w:bCs/>
          <w:sz w:val="28"/>
          <w:szCs w:val="28"/>
        </w:rPr>
        <w:t>尊敬的顾客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感谢您使用本公司YTC6220A 无线高压卫星授时远程核相器。在您初次使用该仪器前，请您详细地阅读本使用说明书，将可帮助您熟练地使用本仪器。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shape id="Picture 2" o:spid="_x0000_s1026" o:spt="75" type="#_x0000_t75" style="position:absolute;left:0pt;margin-left:-54pt;margin-top:7.8pt;height:156pt;width:155.85pt;mso-wrap-distance-bottom:0pt;mso-wrap-distance-left:9pt;mso-wrap-distance-right:9pt;mso-wrap-distance-top:0pt;z-index:251658240;mso-width-relative:page;mso-height-relative:page;" o:ole="t" filled="f" stroked="f" coordsize="21600,21600">
            <v:path/>
            <v:fill on="f" focussize="0,0"/>
            <v:stroke on="f"/>
            <v:imagedata r:id="rId6" cropleft="11097f" croptop="8323f" cropright="7274f" cropbottom="10048f" o:title=""/>
            <o:lock v:ext="edit" grouping="f" rotation="f" text="f" aspectratio="t"/>
            <w10:wrap type="square"/>
          </v:shape>
          <o:OLEObject Type="Embed" ProgID="PBrush" ShapeID="Picture 2" DrawAspect="Content" ObjectID="_1468075725" r:id="rId5">
            <o:LockedField>false</o:LockedField>
          </o:OLEObject>
        </w:pict>
      </w:r>
      <w:r>
        <w:rPr>
          <w:rFonts w:hint="eastAsia" w:ascii="宋体" w:hAnsi="宋体"/>
          <w:sz w:val="28"/>
          <w:szCs w:val="28"/>
        </w:rPr>
        <w:t>我们的宗旨是不断地改进和完善公司的产品，因此您所使用的仪器可能与使用说明书有少许的差别。如果有改动的话，我们会用附页方式告知，敬请谅解！您有不清楚之处，请与公司售后服务部联络，我们定会满足您的要求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shape id="Picture 3" o:spid="_x0000_s1027" o:spt="75" type="#_x0000_t75" style="position:absolute;left:0pt;margin-left:-159.6pt;margin-top:13.35pt;height:138.9pt;width:149.25pt;mso-wrap-distance-bottom:0pt;mso-wrap-distance-left:9pt;mso-wrap-distance-right:9pt;mso-wrap-distance-top:0pt;z-index:251659264;mso-width-relative:page;mso-height-relative:page;" o:ole="t" filled="f" stroked="f" coordsize="21600,21600">
            <v:path/>
            <v:fill on="f" focussize="0,0"/>
            <v:stroke on="f"/>
            <v:imagedata r:id="rId8" cropleft="13871f" croptop="8323f" cropright="10048f" cropbottom="15596f" o:title=""/>
            <o:lock v:ext="edit" grouping="f" rotation="f" text="f" aspectratio="t"/>
            <w10:wrap type="square"/>
          </v:shape>
          <o:OLEObject Type="Embed" ProgID="PBrush" ShapeID="Picture 3" DrawAspect="Content" ObjectID="_1468075726" r:id="rId7">
            <o:LockedField>false</o:LockedField>
          </o:OLEObject>
        </w:pic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由于输入输出端子、测试柱等均有可能带电压，您在插拔测试线、电源插座时，会产生电火花，小心电击，避免触电危险，注意人身安全！</w:t>
      </w:r>
    </w:p>
    <w:p>
      <w:pPr>
        <w:spacing w:line="360" w:lineRule="auto"/>
        <w:ind w:left="838" w:firstLine="419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left="838" w:firstLine="419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left="838" w:firstLine="419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left="838" w:firstLine="419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rPr>
          <w:rFonts w:eastAsia="黑体"/>
          <w:b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慎重保证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本公司生产的产品，在发货之日起三个月内，如产品出现缺陷，实行包换。一年（包括一年）内如产品出现缺陷，实行免费维修。一年以上如产品出现缺陷，实行有偿终身维修。如有合同约定的按合同执行。</w:t>
      </w:r>
    </w:p>
    <w:p>
      <w:pPr>
        <w:numPr>
          <w:ilvl w:val="0"/>
          <w:numId w:val="1"/>
        </w:numPr>
        <w:spacing w:line="360" w:lineRule="auto"/>
        <w:rPr>
          <w:rFonts w:hint="eastAsia" w:eastAsia="黑体"/>
          <w:b/>
          <w:sz w:val="28"/>
          <w:szCs w:val="28"/>
        </w:rPr>
      </w:pPr>
      <w:r>
        <w:rPr>
          <w:rFonts w:hint="eastAsia" w:eastAsia="黑体"/>
          <w:b/>
          <w:sz w:val="28"/>
          <w:szCs w:val="28"/>
        </w:rPr>
        <w:t>安全要求</w:t>
      </w:r>
    </w:p>
    <w:p>
      <w:pPr>
        <w:pStyle w:val="6"/>
        <w:spacing w:line="360" w:lineRule="auto"/>
        <w:ind w:firstLine="6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请阅读下列安全注意事项，以免人身伤害，并防止本产品或与其相连接的任何其它产品受到损坏。为了避免可能发生的危险，本产品只可在规定的范围内使用。</w:t>
      </w:r>
    </w:p>
    <w:p>
      <w:pPr>
        <w:spacing w:line="360" w:lineRule="auto"/>
        <w:ind w:firstLine="562" w:firstLineChars="200"/>
        <w:rPr>
          <w:b/>
          <w:sz w:val="28"/>
          <w:szCs w:val="28"/>
          <w:u w:val="thick"/>
        </w:rPr>
      </w:pPr>
      <w:r>
        <w:rPr>
          <w:rFonts w:hint="eastAsia"/>
          <w:b/>
          <w:bCs/>
          <w:i/>
          <w:iCs/>
          <w:sz w:val="28"/>
          <w:szCs w:val="28"/>
        </w:rPr>
        <w:t>只有合格的技术人员才可执行维修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—</w:t>
      </w:r>
      <w:r>
        <w:rPr>
          <w:rFonts w:hint="eastAsia" w:ascii="宋体" w:hAnsi="宋体"/>
          <w:b/>
          <w:sz w:val="28"/>
          <w:szCs w:val="28"/>
        </w:rPr>
        <w:t>防止火灾或人身伤害</w:t>
      </w:r>
    </w:p>
    <w:p>
      <w:pPr>
        <w:spacing w:line="360" w:lineRule="auto"/>
        <w:ind w:firstLine="557" w:firstLineChars="198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使用适当的电源线。</w:t>
      </w:r>
      <w:r>
        <w:rPr>
          <w:rFonts w:hint="eastAsia"/>
          <w:sz w:val="28"/>
          <w:szCs w:val="28"/>
        </w:rPr>
        <w:t>只可使用本产品专用、并且符合本产品规格的电源线。</w:t>
      </w:r>
    </w:p>
    <w:p>
      <w:pPr>
        <w:spacing w:line="360" w:lineRule="auto"/>
        <w:ind w:firstLine="610" w:firstLineChars="217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正确地连接和断开。</w:t>
      </w:r>
      <w:r>
        <w:rPr>
          <w:rFonts w:hint="eastAsia"/>
          <w:sz w:val="28"/>
          <w:szCs w:val="28"/>
        </w:rPr>
        <w:t>当测试导线与带电端子连接时，请勿随意连接或断开测试导线。</w:t>
      </w:r>
    </w:p>
    <w:p>
      <w:pPr>
        <w:spacing w:line="360" w:lineRule="auto"/>
        <w:ind w:firstLine="610" w:firstLineChars="217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产品接地。</w:t>
      </w:r>
      <w:r>
        <w:rPr>
          <w:rFonts w:hint="eastAsia"/>
          <w:sz w:val="28"/>
          <w:szCs w:val="28"/>
        </w:rPr>
        <w:t>本产品除通过电源线接地导线接地外，产品外壳的接地柱必须接地。为了防止电击，接地导体必须与地面相连。在与本产品输入或输出终端连接前，应确保本产品已正确接地。</w:t>
      </w:r>
    </w:p>
    <w:p>
      <w:pPr>
        <w:spacing w:line="360" w:lineRule="auto"/>
        <w:ind w:firstLine="557" w:firstLineChars="198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注意所有终端的额定值。</w:t>
      </w:r>
      <w:r>
        <w:rPr>
          <w:rFonts w:hint="eastAsia"/>
          <w:sz w:val="28"/>
          <w:szCs w:val="28"/>
        </w:rPr>
        <w:t>为了防止火灾或电击危险，请注意本产品的所有额定值和标记。在对本产品进行连接之前，请阅读本产品使用说明书，以便进一步了解有关额定值的信息。</w:t>
      </w:r>
    </w:p>
    <w:p>
      <w:pPr>
        <w:spacing w:line="360" w:lineRule="auto"/>
        <w:ind w:firstLine="610" w:firstLineChars="217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请勿在无仪器盖板时操作。</w:t>
      </w:r>
      <w:r>
        <w:rPr>
          <w:rFonts w:hint="eastAsia"/>
          <w:sz w:val="28"/>
          <w:szCs w:val="28"/>
        </w:rPr>
        <w:t>如盖板或面板已卸下，请勿操作本产品。</w:t>
      </w:r>
    </w:p>
    <w:p>
      <w:pPr>
        <w:spacing w:line="360" w:lineRule="auto"/>
        <w:ind w:firstLine="610" w:firstLineChars="217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使用适当的保险丝。</w:t>
      </w:r>
      <w:r>
        <w:rPr>
          <w:rFonts w:hint="eastAsia"/>
          <w:sz w:val="28"/>
          <w:szCs w:val="28"/>
        </w:rPr>
        <w:t>只可使用符合本产品规定类型和额定值的保险丝。</w:t>
      </w:r>
    </w:p>
    <w:p>
      <w:pPr>
        <w:spacing w:line="360" w:lineRule="auto"/>
        <w:ind w:firstLine="610" w:firstLineChars="217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避免接触裸露电路和带电金属。</w:t>
      </w:r>
      <w:r>
        <w:rPr>
          <w:rFonts w:hint="eastAsia"/>
          <w:sz w:val="28"/>
          <w:szCs w:val="28"/>
        </w:rPr>
        <w:t>产品有电时，请勿触摸裸露的接点和部位。</w:t>
      </w:r>
    </w:p>
    <w:p>
      <w:pPr>
        <w:spacing w:line="360" w:lineRule="auto"/>
        <w:ind w:firstLine="610" w:firstLineChars="217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在有可疑的故障时，请勿操作。</w:t>
      </w:r>
      <w:r>
        <w:rPr>
          <w:rFonts w:hint="eastAsia"/>
          <w:sz w:val="28"/>
          <w:szCs w:val="28"/>
        </w:rPr>
        <w:t>如怀疑本产品有损坏，请本公司维修人员进行检查，切勿继续操作。</w:t>
      </w:r>
    </w:p>
    <w:p>
      <w:pPr>
        <w:spacing w:line="360" w:lineRule="auto"/>
        <w:ind w:firstLine="557" w:firstLineChars="198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请勿在潮湿环境下操作。</w:t>
      </w:r>
    </w:p>
    <w:p>
      <w:pPr>
        <w:spacing w:line="360" w:lineRule="auto"/>
        <w:ind w:firstLine="557" w:firstLineChars="198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请勿在易爆环境中操作。</w:t>
      </w:r>
    </w:p>
    <w:p>
      <w:pPr>
        <w:spacing w:line="360" w:lineRule="auto"/>
        <w:ind w:firstLine="557" w:firstLineChars="198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保持产品表面清洁和干燥。</w:t>
      </w:r>
    </w:p>
    <w:p>
      <w:pPr>
        <w:spacing w:line="360" w:lineRule="auto"/>
        <w:rPr>
          <w:rFonts w:hint="eastAsia" w:eastAsia="黑体"/>
          <w:b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</w:pP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w:t>－安全术语</w:t>
      </w:r>
    </w:p>
    <w:p>
      <w:pPr>
        <w:spacing w:line="360" w:lineRule="auto"/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i w:val="0"/>
          <w:iCs w:val="0"/>
          <w:sz w:val="28"/>
          <w:szCs w:val="28"/>
        </w:rPr>
      </w:pP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377190</wp:posOffset>
                </wp:positionV>
                <wp:extent cx="4914900" cy="0"/>
                <wp:effectExtent l="0" t="0" r="0" b="0"/>
                <wp:wrapNone/>
                <wp:docPr id="31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-9pt;margin-top:29.7pt;height:0pt;width:387pt;z-index:251661312;mso-width-relative:page;mso-height-relative:page;" filled="f" stroked="t" coordsize="21600,21600" o:gfxdata="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cb3UjXAAAACQEAAA8AAAAAAAAAAQAgAAAAIgAAAGRycy9kb3du&#10;cmV2LnhtbFBLAQIUABQAAAAIAIdO4kDSjRB9xwEAAJoDAAAOAAAAAAAAAAEAIAAAACY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</wp:posOffset>
                </wp:positionV>
                <wp:extent cx="4914900" cy="0"/>
                <wp:effectExtent l="0" t="0" r="0" b="0"/>
                <wp:wrapNone/>
                <wp:docPr id="32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flip:y;margin-left:-9pt;margin-top:2.25pt;height:0pt;width:387pt;z-index:251660288;mso-width-relative:page;mso-height-relative:page;" filled="f" stroked="t" coordsize="21600,21600" o:gfxdata="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rKKMdUAAAAHAQAADwAAAAAAAAABACAAAAAiAAAAZHJz&#10;L2Rvd25yZXYueG1sUEsBAhQAFAAAAAgAh07iQFm1MTvOAQAApA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w:t>警告：</w:t>
      </w:r>
      <w:r>
        <w:rPr>
          <w:rFonts w:hint="eastAsia" w:ascii="宋体" w:hAnsi="宋体" w:eastAsia="宋体" w:cs="宋体"/>
          <w:i w:val="0"/>
          <w:iCs w:val="0"/>
          <w:sz w:val="28"/>
          <w:szCs w:val="28"/>
        </w:rPr>
        <w:t>警告字句指出可能造成人身伤亡的状况或做法。</w:t>
      </w:r>
    </w:p>
    <w:p>
      <w:pPr>
        <w:spacing w:line="360" w:lineRule="auto"/>
        <w:rPr>
          <w:rFonts w:hint="eastAsia" w:ascii="宋体" w:hAnsi="宋体" w:eastAsia="宋体" w:cs="宋体"/>
          <w:i w:val="0"/>
          <w:iCs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i w:val="0"/>
          <w:iCs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i w:val="0"/>
          <w:iCs w:val="0"/>
          <w:sz w:val="28"/>
          <w:szCs w:val="28"/>
        </w:rPr>
      </w:pP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367665</wp:posOffset>
                </wp:positionV>
                <wp:extent cx="4914900" cy="0"/>
                <wp:effectExtent l="0" t="0" r="0" b="0"/>
                <wp:wrapNone/>
                <wp:docPr id="33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margin-left:-9pt;margin-top:28.95pt;height:0pt;width:387pt;z-index:251663360;mso-width-relative:page;mso-height-relative:page;" filled="f" stroked="t" coordsize="21600,21600" o:gfxdata="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0u6tPXAAAACQEAAA8AAAAAAAAAAQAgAAAAIgAAAGRycy9kb3du&#10;cmV2LnhtbFBLAQIUABQAAAAIAIdO4kDvBg+OxwEAAJoDAAAOAAAAAAAAAAEAIAAAACY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4914900" cy="9525"/>
                <wp:effectExtent l="0" t="0" r="0" b="0"/>
                <wp:wrapNone/>
                <wp:docPr id="34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7" o:spid="_x0000_s1026" o:spt="20" style="position:absolute;left:0pt;margin-left:-9pt;margin-top:0pt;height:0.75pt;width:387pt;z-index:251662336;mso-width-relative:page;mso-height-relative:page;" filled="f" stroked="t" coordsize="21600,21600" o:gfxdata="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ZoNcfVAAAABgEAAA8AAAAAAAAAAQAgAAAAIgAAAGRycy9kb3ducmV2&#10;LnhtbFBLAQIUABQAAAAIAIdO4kD424GZxgEAAJ0DAAAOAAAAAAAAAAEAIAAAACQ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8"/>
          <w:szCs w:val="28"/>
        </w:rPr>
        <w:t>小心：</w:t>
      </w:r>
      <w:r>
        <w:rPr>
          <w:rFonts w:hint="eastAsia" w:ascii="宋体" w:hAnsi="宋体" w:eastAsia="宋体" w:cs="宋体"/>
          <w:i w:val="0"/>
          <w:iCs w:val="0"/>
          <w:sz w:val="28"/>
          <w:szCs w:val="28"/>
        </w:rPr>
        <w:t>小心字句指出可能造成本产品损坏的状况或做法。</w:t>
      </w:r>
    </w:p>
    <w:p>
      <w:pPr>
        <w:spacing w:line="360" w:lineRule="auto"/>
        <w:rPr>
          <w:rFonts w:hint="eastAsia" w:ascii="宋体" w:hAnsi="宋体" w:eastAsia="宋体" w:cs="宋体"/>
          <w:i w:val="0"/>
          <w:iCs w:val="0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i w:val="0"/>
          <w:iCs w:val="0"/>
          <w:spacing w:val="24"/>
          <w:sz w:val="28"/>
          <w:szCs w:val="28"/>
        </w:rPr>
      </w:pPr>
    </w:p>
    <w:p>
      <w:pPr>
        <w:rPr>
          <w:rFonts w:hint="eastAsia"/>
          <w:b/>
          <w:spacing w:val="24"/>
          <w:sz w:val="28"/>
          <w:szCs w:val="28"/>
        </w:rPr>
      </w:pPr>
    </w:p>
    <w:p>
      <w:pPr>
        <w:pStyle w:val="7"/>
        <w:jc w:val="both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72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目录</w:t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TOC \o "1-3" \h \u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_Toc9778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一. 简介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_Toc9778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_Toc11973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sz w:val="28"/>
          <w:szCs w:val="28"/>
        </w:rPr>
        <w:t>技术规格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_Toc11973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_Toc17780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bCs/>
          <w:sz w:val="28"/>
          <w:szCs w:val="28"/>
        </w:rPr>
        <w:t>结构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_Toc17780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_Toc16162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四、</w:t>
      </w:r>
      <w:r>
        <w:rPr>
          <w:rFonts w:hint="eastAsia" w:ascii="宋体" w:hAnsi="宋体" w:eastAsia="宋体" w:cs="宋体"/>
          <w:sz w:val="28"/>
          <w:szCs w:val="28"/>
        </w:rPr>
        <w:t>操作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_Toc16162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_Toc28741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五、</w:t>
      </w:r>
      <w:r>
        <w:rPr>
          <w:rFonts w:hint="eastAsia" w:ascii="宋体" w:hAnsi="宋体" w:eastAsia="宋体" w:cs="宋体"/>
          <w:sz w:val="28"/>
          <w:szCs w:val="28"/>
        </w:rPr>
        <w:t>电池管理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_Toc28741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_Toc18122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六、</w:t>
      </w:r>
      <w:r>
        <w:rPr>
          <w:rFonts w:hint="eastAsia" w:ascii="宋体" w:hAnsi="宋体" w:eastAsia="宋体" w:cs="宋体"/>
          <w:sz w:val="28"/>
          <w:szCs w:val="28"/>
        </w:rPr>
        <w:t>装箱单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_Toc18122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firstLine="399" w:firstLineChars="142"/>
        <w:jc w:val="both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</w:t>
      </w:r>
      <w:bookmarkStart w:id="0" w:name="_Toc9778"/>
      <w:r>
        <w:rPr>
          <w:rFonts w:hint="eastAsia" w:ascii="宋体" w:hAnsi="宋体" w:eastAsia="宋体" w:cs="宋体"/>
          <w:color w:val="000000"/>
          <w:sz w:val="28"/>
          <w:szCs w:val="28"/>
        </w:rPr>
        <w:t>简介</w:t>
      </w:r>
      <w:bookmarkEnd w:id="0"/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" w:name="_Toc448824034"/>
      <w:r>
        <w:rPr>
          <w:rFonts w:hint="eastAsia" w:ascii="宋体" w:hAnsi="宋体" w:eastAsia="宋体" w:cs="宋体"/>
          <w:b/>
          <w:sz w:val="24"/>
          <w:szCs w:val="24"/>
        </w:rPr>
        <w:t>YTC6220A 无线高压卫星授时远程核相器</w:t>
      </w:r>
      <w:r>
        <w:rPr>
          <w:rFonts w:hint="eastAsia" w:ascii="宋体" w:hAnsi="宋体" w:eastAsia="宋体" w:cs="宋体"/>
          <w:sz w:val="24"/>
          <w:szCs w:val="24"/>
        </w:rPr>
        <w:t>由</w:t>
      </w:r>
      <w:r>
        <w:rPr>
          <w:rFonts w:hint="eastAsia" w:ascii="宋体" w:hAnsi="宋体" w:eastAsia="宋体" w:cs="宋体"/>
          <w:b/>
          <w:sz w:val="24"/>
          <w:szCs w:val="24"/>
        </w:rPr>
        <w:t>X接收器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Y接收器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X</w:t>
      </w:r>
      <w:r>
        <w:rPr>
          <w:rFonts w:hint="eastAsia" w:ascii="宋体" w:hAnsi="宋体" w:eastAsia="宋体" w:cs="宋体"/>
          <w:b/>
          <w:sz w:val="24"/>
          <w:szCs w:val="24"/>
        </w:rPr>
        <w:t>探测器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Y</w:t>
      </w:r>
      <w:r>
        <w:rPr>
          <w:rFonts w:hint="eastAsia" w:ascii="宋体" w:hAnsi="宋体" w:eastAsia="宋体" w:cs="宋体"/>
          <w:b/>
          <w:sz w:val="24"/>
          <w:szCs w:val="24"/>
        </w:rPr>
        <w:t>探测器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伸缩</w:t>
      </w:r>
      <w:r>
        <w:rPr>
          <w:rFonts w:hint="eastAsia" w:ascii="宋体" w:hAnsi="宋体" w:eastAsia="宋体" w:cs="宋体"/>
          <w:b/>
          <w:sz w:val="24"/>
          <w:szCs w:val="24"/>
        </w:rPr>
        <w:t>绝缘杆</w:t>
      </w:r>
      <w:r>
        <w:rPr>
          <w:rFonts w:hint="eastAsia" w:ascii="宋体" w:hAnsi="宋体" w:eastAsia="宋体" w:cs="宋体"/>
          <w:sz w:val="24"/>
          <w:szCs w:val="24"/>
        </w:rPr>
        <w:t>等组成，可以对环网柜、中置柜、开关柜进行核相，具有普通核相仪的功能。卫星授时核相能实现超远距离核相、地下室核相、矿井下核相，授时精度小于30nS。接收器采用3.5寸真彩液晶屏，内置六合一多模卫星授时模块，支持多种卫星导航系统，包括中国的 BDS（北斗卫星导航系统），美国的GPS，俄罗斯的GLONASS，欧盟的GALILEO，日本的QZSS以及卫星增强系统SBAS（WAAS，EGNOS，GAGAN，MSAS），包含32个跟踪通道，可以同时接收六种卫星授时系统的GNSS信号，并且实现联合授时，确保核相精准。接收器同屏显示实时相位、频率，具有“X信号正常、Y信号正常、同相、异相”等语音提示，清晰直观。空旷地面普通核相距离可达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160m</w:t>
      </w:r>
      <w:r>
        <w:rPr>
          <w:rFonts w:hint="eastAsia" w:ascii="宋体" w:hAnsi="宋体" w:eastAsia="宋体" w:cs="宋体"/>
          <w:sz w:val="24"/>
          <w:szCs w:val="24"/>
        </w:rPr>
        <w:t>，卫星授时核相距离大于500km，能对10V～550kV的电压线路全智能核相，也可用于高压线路和完全密封的环网柜低压感应点核相，其中35kV以下的裸导线探测器可以直接接触核相，35kV以上的裸导线采用非接触式核相，非接触核相是将探测器逐渐靠近被测导线，当感应到电场信号时就可以完成核相，这样无需直接接触高压导线，更加安全！本核相仪还同时具有高压验电器、高压相位表、高压相序表的功能，可以用于验电、相序测试，变压器组别判断等。</w:t>
      </w:r>
      <w:bookmarkEnd w:id="1"/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</w:t>
      </w:r>
      <w:bookmarkStart w:id="2" w:name="_Toc11973"/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技术规格</w:t>
      </w:r>
      <w:bookmarkEnd w:id="2"/>
    </w:p>
    <w:tbl>
      <w:tblPr>
        <w:tblStyle w:val="9"/>
        <w:tblpPr w:leftFromText="180" w:rightFromText="180" w:vertAnchor="text" w:horzAnchor="page" w:tblpX="876" w:tblpY="516"/>
        <w:tblOverlap w:val="never"/>
        <w:tblW w:w="108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4"/>
        <w:gridCol w:w="7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bookmarkStart w:id="3" w:name="_Toc448824035"/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功    能</w:t>
            </w:r>
          </w:p>
        </w:tc>
        <w:tc>
          <w:tcPr>
            <w:tcW w:w="7935" w:type="dxa"/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无线高压卫星授时语音核相，频率、相位、相序、验电测试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7F7F7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电    源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DC 3.7V可充锂电池，USB充电接口，连续工作约10小时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核相模式</w:t>
            </w:r>
          </w:p>
        </w:tc>
        <w:tc>
          <w:tcPr>
            <w:tcW w:w="7935" w:type="dxa"/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卫星秒脉冲精准模式、卫星授时模式、普通模式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7F7F7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传输方式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315MHz、433MHz无线传输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核相距离</w:t>
            </w:r>
          </w:p>
        </w:tc>
        <w:tc>
          <w:tcPr>
            <w:tcW w:w="7935" w:type="dxa"/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卫星授时模式距离不受限制，达500km以上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普通核相模式距离160m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7F7F7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显示模式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3.5寸真彩液晶屏显示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量    程</w:t>
            </w:r>
          </w:p>
        </w:tc>
        <w:tc>
          <w:tcPr>
            <w:tcW w:w="7935" w:type="dxa"/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核相电压等级：AC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10V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550kV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相位：0°～360°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频率：45Hz～75Hz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7F7F7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分 辨 力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°；0.1Hz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精    度</w:t>
            </w:r>
            <w:r>
              <w:rPr>
                <w:rFonts w:hint="eastAsia" w:ascii="宋体" w:hAnsi="宋体" w:eastAsia="宋体" w:cs="宋体"/>
                <w:color w:val="FFFFFF"/>
                <w:kern w:val="0"/>
                <w:sz w:val="24"/>
                <w:szCs w:val="24"/>
              </w:rPr>
              <w:t>(23℃±5℃，80%RH以下)</w:t>
            </w:r>
          </w:p>
        </w:tc>
        <w:tc>
          <w:tcPr>
            <w:tcW w:w="7935" w:type="dxa"/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卫星授时核相：≤±5°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普通核相：≤±10°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595959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频率：≤±2Hz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F7F7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236" w:firstLineChars="98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相别定性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XY两接收器显示的实时相角差在0°～30°为同相； XY两接收器实时相角差在90°～120°或210°～270°为异相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236" w:firstLineChars="98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语音功能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同相、异相、X信号正常、Y信号正常等语音功能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持续核相时间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在卫星授时模式下，卫星授时成功后，若无卫星信号可持续核相30分钟以上，满足地下室、矿井下核相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绝缘杆尺寸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拉伸后长约5m；收缩后长约1m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核相方式</w:t>
            </w:r>
          </w:p>
        </w:tc>
        <w:tc>
          <w:tcPr>
            <w:tcW w:w="7935" w:type="dxa"/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接触核相：35kV及以下裸导线，或110kV以下有安全绝缘外皮的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导线直接接触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核相。(带绝缘杆操作)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tcBorders>
              <w:top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非触核相：35kV以上裸导线，或110kV以上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线路采用非接触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核相。(带绝缘杆操作)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236" w:firstLineChars="98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验电指示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“嘟--嘟--嘟”蜂鸣声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换    档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自动换档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采样速率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2次/秒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首次搜星时间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第一次开机搜星时间约3分钟，开机后第二次搜星时间约30秒，后续热启动约1秒，搜索卫星时主机正面水平朝天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授时精度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小于30nS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仪表尺寸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探测器：长宽厚145mm×60mm×48mm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接收器：长宽厚250mm×100mm×40mm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884" w:type="dxa"/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背光控制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上下箭头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键调整背光亮度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感应强度控制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根据感应的电场强弱不同，探测器能自动控制放大倍数，便于排线密集场所核相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数据保持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测试模式下按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HOLD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键保持数据，再按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HOLD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键取消保持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退出功能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ESC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键退出当前功能界面，返回上级目录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数据查阅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ENTER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进入数据查阅模式后，按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bdr w:val="single" w:color="auto" w:sz="4" w:space="0"/>
              </w:rPr>
              <w:t>箭头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键翻阅所存数据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搜星指示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搜索卫星时动态显示“----”符号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自动关机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开机约30分钟后，仪表自动关机，以降低电池消耗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额定电流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探测器：35mA max；接收器：300mA max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电池电压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当电池电压低于3.2V时：探测器电源指示灯慢闪，提醒充电；接收器电池电压低符号显示，提醒充电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仪表质量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探测器：205g(含电池)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接收器：395g(含电池)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绝缘杆：1.45kg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总质量：12.6kg(含仪表箱)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2884" w:type="dxa"/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工作温湿度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-10℃～40℃；80%Rh以下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存放温湿度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-10℃～60℃；70%Rh以下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tcBorders>
              <w:bottom w:val="single" w:color="auto" w:sz="4" w:space="0"/>
            </w:tcBorders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干    扰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无特强电磁场；无433MHz、315MHz同频干扰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restart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绝缘强度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绝缘杆：AC 110kV/rms(5节绝缘杆全部拉伸后，两端之间)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探测器：2000V/rms(绝缘杆连接头与探测器顶部之间)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884" w:type="dxa"/>
            <w:vMerge w:val="continue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接收器：2000V/rms(外壳前后两端之前)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884" w:type="dxa"/>
            <w:shd w:val="clear" w:color="auto" w:fill="58585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结    构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防滴漏Ⅱ型</w:t>
            </w:r>
            <w:r>
              <w:rPr>
                <w:rFonts w:hint="eastAsia" w:ascii="宋体" w:hAnsi="宋体" w:eastAsia="宋体" w:cs="宋体"/>
                <w:color w:val="313131"/>
                <w:kern w:val="0"/>
                <w:sz w:val="24"/>
                <w:szCs w:val="24"/>
              </w:rPr>
              <w:t>、IP63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84" w:type="dxa"/>
            <w:vMerge w:val="restart"/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适合安规</w:t>
            </w: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GB13398－92、GB311.1－311.6－8、3DL408－91标准和国家新颁布电力行业标准《带电作业用1kV～35kV便携式核相器通用技术条件DL/T971-2005》要求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84" w:type="dxa"/>
            <w:vMerge w:val="continue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</w:pPr>
          </w:p>
        </w:tc>
        <w:tc>
          <w:tcPr>
            <w:tcW w:w="7935" w:type="dxa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符合IEC61481－A2:2004；IEC 61243－1 ed.2:2003标准</w:t>
            </w:r>
          </w:p>
        </w:tc>
      </w:tr>
      <w:bookmarkEnd w:id="3"/>
    </w:tbl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bookmarkStart w:id="4" w:name="_Toc17780"/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结构</w:t>
      </w:r>
      <w:bookmarkEnd w:id="4"/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s1030" o:spid="_x0000_s1030" o:spt="75" type="#_x0000_t75" style="position:absolute;left:0pt;margin-left:18.4pt;margin-top:1.35pt;height:423.4pt;width:413.25pt;z-index:251669504;mso-width-relative:page;mso-height-relative:page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  <o:OLEObject Type="Embed" ProgID="CorelDraw.Graphic.12" ShapeID="_x0000_s1030" DrawAspect="Content" ObjectID="_1468075727" r:id="rId9">
            <o:LockedField>false</o:LockedField>
          </o:OLEObject>
        </w:pic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</w:t>
      </w:r>
      <w:bookmarkStart w:id="5" w:name="_Toc16162"/>
      <w:r>
        <w:rPr>
          <w:rFonts w:hint="eastAsia" w:ascii="宋体" w:hAnsi="宋体" w:cs="宋体"/>
          <w:color w:val="000000"/>
          <w:sz w:val="28"/>
          <w:szCs w:val="28"/>
          <w:lang w:eastAsia="zh-CN"/>
        </w:rPr>
        <w:t>四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操作</w:t>
      </w:r>
      <w:bookmarkEnd w:id="5"/>
    </w:p>
    <w:p>
      <w:pPr>
        <w:pStyle w:val="7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bookmarkStart w:id="6" w:name="_Toc27672"/>
      <w:r>
        <w:rPr>
          <w:rFonts w:hint="eastAsia" w:ascii="宋体" w:hAnsi="宋体" w:eastAsia="宋体" w:cs="宋体"/>
          <w:color w:val="000000"/>
          <w:sz w:val="24"/>
          <w:szCs w:val="24"/>
        </w:rPr>
        <w:t>基本操作</w:t>
      </w:r>
      <w:bookmarkEnd w:id="6"/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卫星授时核相时，X接收器对应接收X探测器的信号；Y接收器对应接收Y探测器的信号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。普通模式核相时，任一接收器都可以接收XY探测器的信号。</w:t>
      </w:r>
    </w:p>
    <w:p>
      <w:pPr>
        <w:pStyle w:val="7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460" w:firstLineChars="192"/>
        <w:jc w:val="left"/>
        <w:textAlignment w:val="auto"/>
        <w:rPr>
          <w:rFonts w:hint="eastAsia" w:ascii="宋体" w:hAnsi="宋体" w:eastAsia="宋体" w:cs="宋体"/>
          <w:b w:val="0"/>
          <w:color w:val="000000"/>
          <w:sz w:val="24"/>
          <w:szCs w:val="24"/>
        </w:rPr>
      </w:pPr>
      <w:bookmarkStart w:id="7" w:name="_Toc23975"/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接收器和探测器都是按</w:t>
      </w: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键开关机。探测器开机后LED指示灯亮，进入测试模式。若开机后LED慢闪，探测器电池电量不足，需要充电，充电时LED快闪。开机</w:t>
      </w:r>
      <w:r>
        <w:rPr>
          <w:rFonts w:hint="eastAsia" w:ascii="宋体" w:hAnsi="宋体" w:eastAsia="宋体" w:cs="宋体"/>
          <w:b w:val="0"/>
          <w:sz w:val="24"/>
          <w:szCs w:val="24"/>
        </w:rPr>
        <w:t>30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分钟后LED持续慢闪，提示探测器将自动关机，此时按</w:t>
      </w: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键探测器能继续工作。接收器开机后，LCD显示，按</w:t>
      </w: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4" w:space="0"/>
        </w:rPr>
        <w:t>上下箭头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键可以调节LCD背光亮度。接收器开机</w:t>
      </w:r>
      <w:r>
        <w:rPr>
          <w:rFonts w:hint="eastAsia" w:ascii="宋体" w:hAnsi="宋体" w:eastAsia="宋体" w:cs="宋体"/>
          <w:b w:val="0"/>
          <w:sz w:val="24"/>
          <w:szCs w:val="24"/>
        </w:rPr>
        <w:t>30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分钟后LCD闪烁，提示接收器将自动关机，此时按</w:t>
      </w:r>
      <w:r>
        <w:rPr>
          <w:rFonts w:hint="eastAsia" w:ascii="宋体" w:hAnsi="宋体" w:eastAsia="宋体" w:cs="宋体"/>
          <w:color w:val="000000"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键接收器能继续工作。</w:t>
      </w:r>
      <w:bookmarkEnd w:id="7"/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开机后按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上下箭头、左右箭头</w:t>
      </w:r>
      <w:r>
        <w:rPr>
          <w:rFonts w:hint="eastAsia" w:ascii="宋体" w:hAnsi="宋体" w:eastAsia="宋体" w:cs="宋体"/>
          <w:sz w:val="24"/>
          <w:szCs w:val="24"/>
        </w:rPr>
        <w:t>键移动光标选择核相模式：卫星精准模式、卫星授时模式、普通模式、储存设置、数据查阅、数据删除，再按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键确认进入。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在普通核相模式下，按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bdr w:val="single" w:color="auto" w:sz="4" w:space="0"/>
          <w:shd w:val="pct10" w:color="auto" w:fill="FFFFFF"/>
        </w:rPr>
        <w:t>HOLD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键锁定并存储数据，锁定数据时</w:t>
      </w:r>
      <w:r>
        <w:rPr>
          <w:rFonts w:hint="eastAsia" w:ascii="宋体" w:hAnsi="宋体" w:eastAsia="宋体" w:cs="宋体"/>
          <w:sz w:val="24"/>
          <w:szCs w:val="24"/>
        </w:rPr>
        <w:t>HOLD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符号指示，并自动编号存储数据，可存储3999组数据。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在普通核相模式下，</w:t>
      </w:r>
      <w:r>
        <w:rPr>
          <w:rFonts w:hint="eastAsia" w:ascii="宋体" w:hAnsi="宋体" w:eastAsia="宋体" w:cs="宋体"/>
          <w:bCs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键进入存储数据查阅模式，RD符号显示，再按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键按步进值翻阅。按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左右箭头</w:t>
      </w:r>
      <w:r>
        <w:rPr>
          <w:rFonts w:hint="eastAsia" w:ascii="宋体" w:hAnsi="宋体" w:eastAsia="宋体" w:cs="宋体"/>
          <w:sz w:val="24"/>
          <w:szCs w:val="24"/>
        </w:rPr>
        <w:t>键选择步进值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+1、-1、+10、-10、+100，-100</w:t>
      </w:r>
      <w:r>
        <w:rPr>
          <w:rFonts w:hint="eastAsia" w:ascii="宋体" w:hAnsi="宋体" w:eastAsia="宋体" w:cs="宋体"/>
          <w:bCs/>
          <w:sz w:val="24"/>
          <w:szCs w:val="24"/>
        </w:rPr>
        <w:t>或选择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删除数据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键确认查阅所存数据。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在普通核相模式数据查阅下，按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左右箭头</w:t>
      </w:r>
      <w:r>
        <w:rPr>
          <w:rFonts w:hint="eastAsia" w:ascii="宋体" w:hAnsi="宋体" w:eastAsia="宋体" w:cs="宋体"/>
          <w:sz w:val="24"/>
          <w:szCs w:val="24"/>
        </w:rPr>
        <w:t>键移动光标到删除位，</w:t>
      </w:r>
      <w:r>
        <w:rPr>
          <w:rFonts w:hint="eastAsia" w:ascii="宋体" w:hAnsi="宋体" w:eastAsia="宋体" w:cs="宋体"/>
          <w:bCs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键进入选择“</w:t>
      </w:r>
      <w:r>
        <w:rPr>
          <w:rFonts w:hint="eastAsia" w:ascii="宋体" w:hAnsi="宋体" w:eastAsia="宋体" w:cs="宋体"/>
          <w:b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>”或“</w:t>
      </w:r>
      <w:r>
        <w:rPr>
          <w:rFonts w:hint="eastAsia" w:ascii="宋体" w:hAnsi="宋体" w:eastAsia="宋体" w:cs="宋体"/>
          <w:b/>
          <w:sz w:val="24"/>
          <w:szCs w:val="24"/>
        </w:rPr>
        <w:t>否</w:t>
      </w:r>
      <w:r>
        <w:rPr>
          <w:rFonts w:hint="eastAsia" w:ascii="宋体" w:hAnsi="宋体" w:eastAsia="宋体" w:cs="宋体"/>
          <w:sz w:val="24"/>
          <w:szCs w:val="24"/>
        </w:rPr>
        <w:t>”删除，按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键确认并返回，数据删除后将不能恢复，请谨慎操作。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在储存设置下，按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上下箭头</w:t>
      </w:r>
      <w:r>
        <w:rPr>
          <w:rFonts w:hint="eastAsia" w:ascii="宋体" w:hAnsi="宋体" w:eastAsia="宋体" w:cs="宋体"/>
          <w:sz w:val="24"/>
          <w:szCs w:val="24"/>
        </w:rPr>
        <w:t>键移动光标选择关闭或自动储存时间：关闭、2秒、5秒、10秒，按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键确认并返回，卫星模式下可存储999组数据。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在卫星数据查阅模式，按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上下箭头</w:t>
      </w:r>
      <w:r>
        <w:rPr>
          <w:rFonts w:hint="eastAsia" w:ascii="宋体" w:hAnsi="宋体" w:eastAsia="宋体" w:cs="宋体"/>
          <w:sz w:val="24"/>
          <w:szCs w:val="24"/>
        </w:rPr>
        <w:t>键选择步进1、步进10、步进100，再按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左右箭头</w:t>
      </w:r>
      <w:r>
        <w:rPr>
          <w:rFonts w:hint="eastAsia" w:ascii="宋体" w:hAnsi="宋体" w:eastAsia="宋体" w:cs="宋体"/>
          <w:sz w:val="24"/>
          <w:szCs w:val="24"/>
        </w:rPr>
        <w:t>键按步进值翻阅。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在卫星数据删除模式，按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左右箭头</w:t>
      </w:r>
      <w:r>
        <w:rPr>
          <w:rFonts w:hint="eastAsia" w:ascii="宋体" w:hAnsi="宋体" w:eastAsia="宋体" w:cs="宋体"/>
          <w:sz w:val="24"/>
          <w:szCs w:val="24"/>
        </w:rPr>
        <w:t>键选择“</w:t>
      </w:r>
      <w:r>
        <w:rPr>
          <w:rFonts w:hint="eastAsia" w:ascii="宋体" w:hAnsi="宋体" w:eastAsia="宋体" w:cs="宋体"/>
          <w:b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>”或“</w:t>
      </w:r>
      <w:r>
        <w:rPr>
          <w:rFonts w:hint="eastAsia" w:ascii="宋体" w:hAnsi="宋体" w:eastAsia="宋体" w:cs="宋体"/>
          <w:b/>
          <w:sz w:val="24"/>
          <w:szCs w:val="24"/>
        </w:rPr>
        <w:t>否</w:t>
      </w:r>
      <w:r>
        <w:rPr>
          <w:rFonts w:hint="eastAsia" w:ascii="宋体" w:hAnsi="宋体" w:eastAsia="宋体" w:cs="宋体"/>
          <w:sz w:val="24"/>
          <w:szCs w:val="24"/>
        </w:rPr>
        <w:t>”，按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ENTER</w:t>
      </w:r>
      <w:r>
        <w:rPr>
          <w:rFonts w:hint="eastAsia" w:ascii="宋体" w:hAnsi="宋体" w:eastAsia="宋体" w:cs="宋体"/>
          <w:sz w:val="24"/>
          <w:szCs w:val="24"/>
        </w:rPr>
        <w:t>键确认并返回，数据删除后将不能恢复，请谨慎操作。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ESC</w:t>
      </w:r>
      <w:r>
        <w:rPr>
          <w:rFonts w:hint="eastAsia" w:ascii="宋体" w:hAnsi="宋体" w:eastAsia="宋体" w:cs="宋体"/>
          <w:sz w:val="24"/>
          <w:szCs w:val="24"/>
        </w:rPr>
        <w:t>键退出当前目录返回测量界面。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核相距离模式设置，长按探测器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键3秒进入核相距离模式设置，短按探测器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键可切换长距离模式和短距离模式，长距离模式LED持续快闪，短距离模式LED持续慢闪，</w:t>
      </w:r>
      <w:r>
        <w:rPr>
          <w:rFonts w:hint="eastAsia" w:ascii="宋体" w:hAnsi="宋体" w:eastAsia="宋体" w:cs="宋体"/>
          <w:sz w:val="24"/>
          <w:szCs w:val="24"/>
        </w:rPr>
        <w:t>长按探测器</w:t>
      </w:r>
      <w:r>
        <w:rPr>
          <w:rFonts w:hint="eastAsia" w:ascii="宋体" w:hAnsi="宋体" w:eastAsia="宋体" w:cs="宋体"/>
          <w:b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sz w:val="24"/>
          <w:szCs w:val="24"/>
        </w:rPr>
        <w:t>键3秒退出设置模式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，退出保持前次设定的模式，重新开机默认短距离模式。</w:t>
      </w:r>
    </w:p>
    <w:p>
      <w:pPr>
        <w:pStyle w:val="7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72" w:firstLineChars="196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bookmarkStart w:id="8" w:name="_Toc3152"/>
      <w:r>
        <w:rPr>
          <w:rFonts w:hint="eastAsia" w:ascii="宋体" w:hAnsi="宋体" w:eastAsia="宋体" w:cs="宋体"/>
          <w:color w:val="000000"/>
          <w:sz w:val="24"/>
          <w:szCs w:val="24"/>
        </w:rPr>
        <w:t>2．测试</w:t>
      </w:r>
      <w:bookmarkEnd w:id="8"/>
    </w:p>
    <w:tbl>
      <w:tblPr>
        <w:tblStyle w:val="9"/>
        <w:tblW w:w="8205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6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320" w:type="dxa"/>
            <w:vMerge w:val="restart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360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1905</wp:posOffset>
                  </wp:positionV>
                  <wp:extent cx="806450" cy="1428750"/>
                  <wp:effectExtent l="0" t="0" r="12700" b="0"/>
                  <wp:wrapNone/>
                  <wp:docPr id="1" name="图片 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8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85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高压，极其危险！必须由经培训并取得授权资格的人员操作，操作者须严格遵守安全规则，否则有电击的危险，造成人身伤害或伤亡事故。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320" w:type="dxa"/>
            <w:vMerge w:val="continue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36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85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35kV以上裸导线核相，请采用非接触方式，探测器逐渐靠近导线即可，否则有电击的危险，造成人身伤害或伤亡事故。</w:t>
            </w: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卫星授时核相时，XY两接收器显示的实时相角差(即X接收器显示的实时相角度数减去Y接收器显示的实时相角度数,或者Y接收器显示的实时相角度数减去X接收器显示的实时相角度数,若差值为负数时再加360°)，两者相角差在0°～30°为同相，在90°～120°或210°～270°为异相。若两接收器之间距离太远，或者地下室无卫星信号核相，或不能通电话，可使用自动存储功能核相，自动存储时间一般设置5秒，测试完毕后翻阅两个接收器存储的数据，对比两接收器相同时间点的实时相角度数，计算差值从而判断同相或异相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搜索卫星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： </w:t>
      </w:r>
      <w:r>
        <w:rPr>
          <w:rFonts w:hint="eastAsia" w:ascii="宋体" w:hAnsi="宋体" w:eastAsia="宋体" w:cs="宋体"/>
          <w:sz w:val="24"/>
          <w:szCs w:val="24"/>
        </w:rPr>
        <w:t>将XY两个接收器拿到室外无遮挡天空的空旷位置(空旷广场、十字路口、远离建筑物、树木等)，两个接收器正面水平朝向天空，1至3分钟可以收到卫星时钟信号，若未收到时钟信号则更换位置重收。搜索卫星颗数达到5颗，卫星时间自动校准到接收器时间，显示时间，即卫星授时成功，可进行卫星授时核相，也可在室外、室内、地下室等无卫星信号的场所核相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接触核相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：当裸导线电压低于35kV时，或110kV以下具有安全绝缘外皮的导线，可以将探测器探针或探钩接触导线核相。极低电压时，例如低于60V，必须接触核相。核相时，</w:t>
      </w:r>
      <w:r>
        <w:rPr>
          <w:rFonts w:hint="eastAsia" w:ascii="宋体" w:hAnsi="宋体" w:eastAsia="宋体" w:cs="宋体"/>
          <w:sz w:val="24"/>
          <w:szCs w:val="24"/>
        </w:rPr>
        <w:t>探测器自动调节电场感应强度，根据电场强弱自动增强和减弱信号放大倍数，便于线路密集的场所核相。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20" w:leftChars="200"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非接触核相</w:t>
      </w:r>
      <w:r>
        <w:rPr>
          <w:rFonts w:hint="eastAsia" w:ascii="宋体" w:hAnsi="宋体" w:eastAsia="宋体" w:cs="宋体"/>
          <w:sz w:val="24"/>
          <w:szCs w:val="24"/>
        </w:rPr>
        <w:t>：当裸导线电压高于35kV时，探测器逐渐靠近导线(不用接触导线)，探测器感应到电场时发出“嘟--嘟--嘟”蜂鸣声，即可完成核相。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37" w:leftChars="20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spacing w:val="4"/>
          <w:sz w:val="24"/>
          <w:szCs w:val="24"/>
        </w:rPr>
        <w:t>自校验核相</w:t>
      </w:r>
      <w:r>
        <w:rPr>
          <w:rFonts w:hint="eastAsia" w:ascii="宋体" w:hAnsi="宋体" w:eastAsia="宋体" w:cs="宋体"/>
          <w:spacing w:val="4"/>
          <w:sz w:val="24"/>
          <w:szCs w:val="24"/>
        </w:rPr>
        <w:t>：去</w:t>
      </w:r>
      <w:r>
        <w:rPr>
          <w:rFonts w:hint="eastAsia" w:ascii="宋体" w:hAnsi="宋体" w:eastAsia="宋体" w:cs="宋体"/>
          <w:sz w:val="24"/>
          <w:szCs w:val="24"/>
        </w:rPr>
        <w:t>现场核相前可先在实验室或办公室做自校验，以确认仪表能正常工作。先将自校线插头插入220V电源插座，再将自校线的两个夹子分别接触XY探测器的探针或探钩，在同一条火线上取电自校验核相，接收器指示为同相，若无信号，可能自校线插头插反，拔出重新反插即可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37" w:leftChars="208" w:firstLine="481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低压核相</w:t>
      </w:r>
      <w:r>
        <w:rPr>
          <w:rFonts w:hint="eastAsia" w:ascii="宋体" w:hAnsi="宋体" w:eastAsia="宋体" w:cs="宋体"/>
          <w:sz w:val="24"/>
          <w:szCs w:val="24"/>
        </w:rPr>
        <w:t>：若导线电压低于100V，可使用辅助测试线，圆孔端插入子机充电孔，鄂鱼夹端接地；导线电压高于220V禁止使用辅助测试线。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437" w:leftChars="208" w:firstLine="481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9"/>
        <w:tblW w:w="7890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BEBEBE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7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BEBEBE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360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shd w:val="pct10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3810</wp:posOffset>
                  </wp:positionV>
                  <wp:extent cx="354965" cy="463550"/>
                  <wp:effectExtent l="0" t="0" r="6985" b="12700"/>
                  <wp:wrapNone/>
                  <wp:docPr id="3" name="图片 2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8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360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shd w:val="pct10" w:color="auto" w:fill="FFFFFF"/>
              </w:rPr>
            </w:pPr>
          </w:p>
        </w:tc>
        <w:tc>
          <w:tcPr>
            <w:tcW w:w="7325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tabs>
                <w:tab w:val="left" w:pos="360"/>
                <w:tab w:val="left" w:pos="540"/>
              </w:tabs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测试时，严禁同时钩住2条裸导线，会引起2条裸导线短路，极其危险。</w:t>
            </w: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_x0000_s1032" o:spid="_x0000_s1032" o:spt="75" type="#_x0000_t75" style="position:absolute;left:0pt;margin-left:19.65pt;margin-top:3.9pt;height:174.8pt;width:392.8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  <o:OLEObject Type="Embed" ProgID="CorelDraw.Graphic.12" ShapeID="_x0000_s1032" DrawAspect="Content" ObjectID="_1468075728" r:id="rId12">
            <o:LockedField>false</o:LockedField>
          </o:OLEObject>
        </w:pic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tbl>
      <w:tblPr>
        <w:tblStyle w:val="8"/>
        <w:tblpPr w:leftFromText="180" w:rightFromText="180" w:vertAnchor="text" w:horzAnchor="page" w:tblpX="2370" w:tblpY="77"/>
        <w:tblOverlap w:val="never"/>
        <w:tblW w:w="80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1860"/>
        <w:gridCol w:w="2295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0" w:type="dxa"/>
            <w:gridSpan w:val="4"/>
            <w:tcBorders>
              <w:bottom w:val="single" w:color="auto" w:sz="4" w:space="0"/>
            </w:tcBorders>
            <w:shd w:val="clear" w:color="auto" w:fill="7E7E7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sz w:val="24"/>
                <w:szCs w:val="24"/>
              </w:rPr>
              <w:t>三相</w:t>
            </w: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四线(三相负载平衡时的相位)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5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相位关系</w:t>
            </w:r>
          </w:p>
        </w:tc>
        <w:tc>
          <w:tcPr>
            <w:tcW w:w="1860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相位值</w:t>
            </w:r>
          </w:p>
        </w:tc>
        <w:tc>
          <w:tcPr>
            <w:tcW w:w="2295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相位关系</w:t>
            </w:r>
          </w:p>
        </w:tc>
        <w:tc>
          <w:tcPr>
            <w:tcW w:w="2160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相位值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Ua-Ub</w:t>
            </w:r>
          </w:p>
        </w:tc>
        <w:tc>
          <w:tcPr>
            <w:tcW w:w="18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  <w:tc>
          <w:tcPr>
            <w:tcW w:w="229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Ia-Ib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Ub-Uc</w:t>
            </w:r>
          </w:p>
        </w:tc>
        <w:tc>
          <w:tcPr>
            <w:tcW w:w="18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  <w:tc>
          <w:tcPr>
            <w:tcW w:w="229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Ib-Ic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Uc-Ua</w:t>
            </w:r>
          </w:p>
        </w:tc>
        <w:tc>
          <w:tcPr>
            <w:tcW w:w="18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  <w:tc>
          <w:tcPr>
            <w:tcW w:w="229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Ic-Ia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Ua-Uc</w:t>
            </w:r>
          </w:p>
        </w:tc>
        <w:tc>
          <w:tcPr>
            <w:tcW w:w="18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240°</w:t>
            </w:r>
          </w:p>
        </w:tc>
        <w:tc>
          <w:tcPr>
            <w:tcW w:w="229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Ia-Ic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240°</w:t>
            </w: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tbl>
      <w:tblPr>
        <w:tblStyle w:val="8"/>
        <w:tblW w:w="8211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1695"/>
        <w:gridCol w:w="2415"/>
        <w:gridCol w:w="2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1" w:type="dxa"/>
            <w:gridSpan w:val="4"/>
            <w:tcBorders>
              <w:bottom w:val="single" w:color="auto" w:sz="4" w:space="0"/>
            </w:tcBorders>
            <w:shd w:val="clear" w:color="auto" w:fill="7E7E7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sz w:val="24"/>
                <w:szCs w:val="24"/>
              </w:rPr>
              <w:t>三相</w:t>
            </w: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三线(三相负载平衡时的相位)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1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相位关系</w:t>
            </w:r>
          </w:p>
        </w:tc>
        <w:tc>
          <w:tcPr>
            <w:tcW w:w="1695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相位值</w:t>
            </w:r>
          </w:p>
        </w:tc>
        <w:tc>
          <w:tcPr>
            <w:tcW w:w="2415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  <w:t>相位关系</w:t>
            </w:r>
          </w:p>
        </w:tc>
        <w:tc>
          <w:tcPr>
            <w:tcW w:w="2610" w:type="dxa"/>
            <w:shd w:val="clear" w:color="auto" w:fill="BEBEBE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相位值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1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Uab-Ucb</w:t>
            </w:r>
          </w:p>
        </w:tc>
        <w:tc>
          <w:tcPr>
            <w:tcW w:w="169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300°</w:t>
            </w:r>
          </w:p>
        </w:tc>
        <w:tc>
          <w:tcPr>
            <w:tcW w:w="241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Ia-Ic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1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Uab-Ia</w:t>
            </w:r>
          </w:p>
        </w:tc>
        <w:tc>
          <w:tcPr>
            <w:tcW w:w="169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30°</w:t>
            </w:r>
          </w:p>
        </w:tc>
        <w:tc>
          <w:tcPr>
            <w:tcW w:w="2415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Ucb-Ic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330°</w:t>
            </w: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</w:p>
    <w:tbl>
      <w:tblPr>
        <w:tblStyle w:val="8"/>
        <w:tblW w:w="8196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6" w:type="dxa"/>
            <w:tcBorders>
              <w:bottom w:val="single" w:color="auto" w:sz="4" w:space="0"/>
            </w:tcBorders>
            <w:shd w:val="clear" w:color="auto" w:fill="7E7E7E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FFFFFF"/>
                <w:kern w:val="0"/>
                <w:sz w:val="24"/>
                <w:szCs w:val="24"/>
              </w:rPr>
              <w:t>三相四线向量图与三相三线向量图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8196" w:type="dxa"/>
            <w:noWrap w:val="0"/>
            <w:vAlign w:val="top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60960</wp:posOffset>
                  </wp:positionV>
                  <wp:extent cx="2719705" cy="1016000"/>
                  <wp:effectExtent l="0" t="0" r="4445" b="12700"/>
                  <wp:wrapNone/>
                  <wp:docPr id="2" name="图片 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bookmarkStart w:id="9" w:name="_Toc448824057"/>
    </w:p>
    <w:p>
      <w:pPr>
        <w:pStyle w:val="2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80" w:after="180" w:line="360" w:lineRule="auto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8"/>
        <w:tblW w:w="8092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2"/>
        <w:gridCol w:w="6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2" w:type="dxa"/>
            <w:gridSpan w:val="2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现场核相操作实例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35kV以上高压裸导线核相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探测器连接绝缘杆，绝缘杆全部拉伸，可以不用装探钩探针，探测器逐渐靠近导线，非接触核相，非接触核相时探测器尽量避开其他导线。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35kV以下线路核相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探测器连接绝缘杆，绝缘杆全部拉伸，探测器可以挂在线路上接触核相。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380V/220V市电线路核相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探测器前端接触带电线路即可核相，可以不装探钩探针，绝缘杆视其线路离地高度使用。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100V以下线路核相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探测器可以不用连接绝缘杆，探针或探钩接触导线核相，若电压太低，将辅助测试线插头插入探测器充电孔，辅助测试线夹到接地端子或机柜门上。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高压开关柜带电指(显)示器核相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不用连接绝缘杆，装好探针，探针插入带电指示器核相，如果电压太低，将辅助测试线插头插入探测器充电孔，辅助测试线夹到接地端子或机柜门上。(此种方法为二次侧核相，其核相结果是否正确，要根据L1、L2、L3与母线的对应关系是否正确来判断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开关柜PT、CT二次侧取电点核相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不用连接绝缘杆，装好探针，探针插入带电指示器核相，如果电压太低，将辅助测试线插头插入探测器充电孔，辅助测试线夹到接地端子或机柜门上。(此种方法为二次侧核相，其核相结果是否正确，要根据L1、L2、L3与母线的对应关系是否正确来判断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10kV/35kV封闭式高压柜接线T头核相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XY探测器连接绝缘杆，装上探钩，探测器接触T头核相，一般都可以不用装探钩接触核相。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肘型头核相也可同样操作。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五防开关柜核相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探测器不能连接绝缘杆，也不要装探针或探钩；将被测开关柜的母排停电，或将手车摇出；再将探测器贴在母排或手车母线上，用松紧带将探测器捆绑固定在母排或母线上；探测器开机，然后开关柜通电核相。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10kV/35kV变压器一次与二次间核相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X探测器连接绝缘杆和探钩，挂在10kV/35kV变压器的一次线路上(10kV/35kV端)；Y探测器连接绝缘杆和探钩，挂在变压器的二次线路上（400V端）核相。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2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两地无卫星信号，无手机信号的地下室核相</w:t>
            </w:r>
          </w:p>
        </w:tc>
        <w:tc>
          <w:tcPr>
            <w:tcW w:w="6150" w:type="dxa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在卫星授时模式下核相：两接收器先设置好自动存储时间，一般设置5秒；然后两接收器在空旷场所搜索卫星并获得授时；操作人员约好时间，两边都拿到地下室去核相，两主机每间隔5秒自动存储一次实时相角；存几十组数据后拿到地面上来，对比所存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相同时间点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两地的实时相角差，根据相角差来判断核相结果。卫星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授时成功后去地下室核相期间接收器不能关机再开机，否则卫星授时中断就不能核相，需要到地面重新搜索卫星信号并获得授时才可以继续核相。（人工对比）</w:t>
            </w: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</w:t>
      </w:r>
      <w:bookmarkStart w:id="10" w:name="_Toc28741"/>
      <w:r>
        <w:rPr>
          <w:rFonts w:hint="eastAsia" w:ascii="宋体" w:hAnsi="宋体" w:cs="宋体"/>
          <w:color w:val="000000"/>
          <w:sz w:val="28"/>
          <w:szCs w:val="28"/>
          <w:lang w:eastAsia="zh-CN"/>
        </w:rPr>
        <w:t>五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电池管理</w:t>
      </w:r>
      <w:bookmarkEnd w:id="10"/>
    </w:p>
    <w:bookmarkEnd w:id="9"/>
    <w:p>
      <w:pPr>
        <w:keepLines w:val="0"/>
        <w:pageBreakBefore w:val="0"/>
        <w:widowControl w:val="0"/>
        <w:tabs>
          <w:tab w:val="left" w:pos="360"/>
          <w:tab w:val="left" w:pos="540"/>
          <w:tab w:val="left" w:pos="710"/>
        </w:tabs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b/>
          <w:color w:val="000000"/>
          <w:sz w:val="24"/>
          <w:szCs w:val="24"/>
          <w:shd w:val="pct10" w:color="auto" w:fill="FFFFFF"/>
        </w:rPr>
      </w:pPr>
    </w:p>
    <w:p>
      <w:pPr>
        <w:keepLines w:val="0"/>
        <w:pageBreakBefore w:val="0"/>
        <w:widowControl w:val="0"/>
        <w:tabs>
          <w:tab w:val="left" w:pos="630"/>
        </w:tabs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pict>
          <v:shape id="_x0000_s1034" o:spid="_x0000_s1034" o:spt="75" type="#_x0000_t75" style="position:absolute;left:0pt;margin-left:4.8pt;margin-top:12.1pt;height:18.9pt;width:21.2pt;z-index:25166540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  <o:OLEObject Type="Embed" ProgID="CorelDraw.Graphic.12" ShapeID="_x0000_s1034" DrawAspect="Content" ObjectID="_1468075729" r:id="rId15">
            <o:LockedField>false</o:LockedField>
          </o:OLEObject>
        </w:pict>
      </w:r>
      <w:r>
        <w:rPr>
          <w:rFonts w:hint="eastAsia" w:ascii="宋体" w:hAnsi="宋体" w:eastAsia="宋体" w:cs="宋体"/>
          <w:b/>
          <w:color w:val="000000"/>
          <w:sz w:val="24"/>
          <w:szCs w:val="24"/>
          <w:shd w:val="pct10" w:color="auto" w:fill="FFFFFF"/>
        </w:rPr>
        <w:tab/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● 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及时给电池充电，长时间不使用仪表每3个月给电池充电一次。</w:t>
      </w:r>
    </w:p>
    <w:p>
      <w:pPr>
        <w:keepLines w:val="0"/>
        <w:pageBreakBefore w:val="0"/>
        <w:widowControl w:val="0"/>
        <w:tabs>
          <w:tab w:val="left" w:pos="630"/>
          <w:tab w:val="left" w:pos="710"/>
        </w:tabs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  <w:shd w:val="pct10" w:color="auto" w:fill="FFFFFF"/>
        </w:rPr>
        <w:tab/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● 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警告！电池盖板没有盖好的情况下禁止进行测试，否则有危险。</w:t>
      </w:r>
    </w:p>
    <w:p>
      <w:pPr>
        <w:keepLines w:val="0"/>
        <w:pageBreakBefore w:val="0"/>
        <w:widowControl w:val="0"/>
        <w:tabs>
          <w:tab w:val="left" w:pos="630"/>
          <w:tab w:val="left" w:pos="710"/>
        </w:tabs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  <w:shd w:val="pct10" w:color="auto" w:fill="FFFFFF"/>
        </w:rPr>
        <w:tab/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● 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更换电池时，请注意电池极性，否则可能损坏仪表。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834" w:firstLineChars="346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1．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当电池电压低于3.2V时，请及时充电，充电时间约4小时。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886" w:hanging="1185" w:hangingChars="492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 xml:space="preserve">       2．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若更换电池，先确认仪表处于关机状态，松开接收器电池盖板的螺丝，打开电池盖板，换上新电池，或松开探测器底座的4枚螺丝，打开底座更换电池。注意电池规格极性，盖好电池盖板，拧紧螺丝。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 xml:space="preserve">       3．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按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bdr w:val="single" w:color="auto" w:sz="4" w:space="0"/>
          <w:shd w:val="pct10" w:color="auto" w:fill="FFFFFF"/>
        </w:rPr>
        <w:t>POWER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键看能否正常开机，若不能开机，请按第2步重新操作。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 xml:space="preserve">       4．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若用户无法更换电池，请与厂家联系。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</w:t>
      </w:r>
      <w:bookmarkStart w:id="11" w:name="_Toc18122"/>
      <w:r>
        <w:rPr>
          <w:rFonts w:hint="eastAsia" w:ascii="宋体" w:hAnsi="宋体" w:cs="宋体"/>
          <w:color w:val="000000"/>
          <w:sz w:val="28"/>
          <w:szCs w:val="28"/>
          <w:lang w:eastAsia="zh-CN"/>
        </w:rPr>
        <w:t>六、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装箱单</w:t>
      </w:r>
      <w:bookmarkEnd w:id="11"/>
    </w:p>
    <w:tbl>
      <w:tblPr>
        <w:tblStyle w:val="8"/>
        <w:tblpPr w:leftFromText="180" w:rightFromText="180" w:vertAnchor="text" w:horzAnchor="page" w:tblpX="737" w:tblpY="451"/>
        <w:tblOverlap w:val="never"/>
        <w:tblW w:w="945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5"/>
        <w:gridCol w:w="570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0BEBB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探测器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720" w:firstLineChars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2个(X、Y各1个)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接收器(主机)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720" w:firstLineChars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0BEBB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天线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4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伸缩绝缘杆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4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0BEBB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铝箱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720" w:firstLineChars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探钩、探针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720" w:firstLineChars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4根(各2根)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USB充电器、充电线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720" w:firstLineChars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锂电池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720" w:firstLineChars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4个(仪表内)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自校线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8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辅助测试线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6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7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EBEBE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20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用户手册、保修卡、合格证</w:t>
            </w:r>
          </w:p>
        </w:tc>
        <w:tc>
          <w:tcPr>
            <w:tcW w:w="5700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180" w:firstLine="3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1套</w:t>
            </w:r>
          </w:p>
        </w:tc>
      </w:tr>
    </w:tbl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6pebnPAAAABQEAAA8AAAAAAAAAAQAgAAAAIgAAAGRycy9kb3ducmV2LnhtbFBLAQIUABQAAAAI&#10;AIdO4kDvj+vrvQEAAGIDAAAOAAAAAAAAAAEAIAAAAB4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24807699"/>
    <w:multiLevelType w:val="multilevel"/>
    <w:tmpl w:val="24807699"/>
    <w:lvl w:ilvl="0" w:tentative="0">
      <w:start w:val="1"/>
      <w:numFmt w:val="decimal"/>
      <w:lvlText w:val="%1．"/>
      <w:lvlJc w:val="left"/>
      <w:pPr>
        <w:ind w:left="77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52" w:hanging="420"/>
      </w:pPr>
    </w:lvl>
    <w:lvl w:ilvl="2" w:tentative="0">
      <w:start w:val="1"/>
      <w:numFmt w:val="lowerRoman"/>
      <w:lvlText w:val="%3."/>
      <w:lvlJc w:val="right"/>
      <w:pPr>
        <w:ind w:left="1672" w:hanging="420"/>
      </w:pPr>
    </w:lvl>
    <w:lvl w:ilvl="3" w:tentative="0">
      <w:start w:val="1"/>
      <w:numFmt w:val="decimal"/>
      <w:lvlText w:val="%4."/>
      <w:lvlJc w:val="left"/>
      <w:pPr>
        <w:ind w:left="2092" w:hanging="420"/>
      </w:pPr>
    </w:lvl>
    <w:lvl w:ilvl="4" w:tentative="0">
      <w:start w:val="1"/>
      <w:numFmt w:val="lowerLetter"/>
      <w:lvlText w:val="%5)"/>
      <w:lvlJc w:val="left"/>
      <w:pPr>
        <w:ind w:left="2512" w:hanging="420"/>
      </w:pPr>
    </w:lvl>
    <w:lvl w:ilvl="5" w:tentative="0">
      <w:start w:val="1"/>
      <w:numFmt w:val="lowerRoman"/>
      <w:lvlText w:val="%6."/>
      <w:lvlJc w:val="right"/>
      <w:pPr>
        <w:ind w:left="2932" w:hanging="420"/>
      </w:pPr>
    </w:lvl>
    <w:lvl w:ilvl="6" w:tentative="0">
      <w:start w:val="1"/>
      <w:numFmt w:val="decimal"/>
      <w:lvlText w:val="%7."/>
      <w:lvlJc w:val="left"/>
      <w:pPr>
        <w:ind w:left="3352" w:hanging="420"/>
      </w:pPr>
    </w:lvl>
    <w:lvl w:ilvl="7" w:tentative="0">
      <w:start w:val="1"/>
      <w:numFmt w:val="lowerLetter"/>
      <w:lvlText w:val="%8)"/>
      <w:lvlJc w:val="left"/>
      <w:pPr>
        <w:ind w:left="3772" w:hanging="420"/>
      </w:pPr>
    </w:lvl>
    <w:lvl w:ilvl="8" w:tentative="0">
      <w:start w:val="1"/>
      <w:numFmt w:val="lowerRoman"/>
      <w:lvlText w:val="%9."/>
      <w:lvlJc w:val="right"/>
      <w:pPr>
        <w:ind w:left="4192" w:hanging="420"/>
      </w:pPr>
    </w:lvl>
  </w:abstractNum>
  <w:abstractNum w:abstractNumId="2">
    <w:nsid w:val="595DA521"/>
    <w:multiLevelType w:val="singleLevel"/>
    <w:tmpl w:val="595DA521"/>
    <w:lvl w:ilvl="0" w:tentative="0">
      <w:start w:val="1"/>
      <w:numFmt w:val="chineseCounting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63F8"/>
    <w:rsid w:val="27490EF6"/>
    <w:rsid w:val="366B03F1"/>
    <w:rsid w:val="36C04AFB"/>
    <w:rsid w:val="3C6B6563"/>
    <w:rsid w:val="4ADB38E3"/>
    <w:rsid w:val="5839134F"/>
    <w:rsid w:val="5B217930"/>
    <w:rsid w:val="6A830271"/>
    <w:rsid w:val="6D8E4984"/>
    <w:rsid w:val="6E7429D9"/>
    <w:rsid w:val="7C8D6497"/>
    <w:rsid w:val="7F9071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Lines="50" w:afterLines="50" w:line="240" w:lineRule="exact"/>
      <w:ind w:firstLine="0" w:firstLineChars="0"/>
      <w:jc w:val="left"/>
      <w:outlineLvl w:val="0"/>
    </w:pPr>
    <w:rPr>
      <w:b/>
      <w:bCs/>
      <w:sz w:val="21"/>
      <w:szCs w:val="20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Body Text Indent 3"/>
    <w:basedOn w:val="1"/>
    <w:uiPriority w:val="0"/>
    <w:pPr>
      <w:tabs>
        <w:tab w:val="left" w:pos="-420"/>
        <w:tab w:val="left" w:pos="1995"/>
      </w:tabs>
      <w:ind w:right="-403" w:firstLine="420" w:firstLineChars="200"/>
    </w:pPr>
    <w:rPr>
      <w:rFonts w:ascii="Arial" w:hAnsi="Arial" w:cs="Arial"/>
      <w:kern w:val="0"/>
      <w:szCs w:val="21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wmf"/><Relationship Id="rId15" Type="http://schemas.openxmlformats.org/officeDocument/2006/relationships/oleObject" Target="embeddings/oleObject5.bin"/><Relationship Id="rId14" Type="http://schemas.openxmlformats.org/officeDocument/2006/relationships/image" Target="media/image6.png"/><Relationship Id="rId13" Type="http://schemas.openxmlformats.org/officeDocument/2006/relationships/image" Target="media/image5.wmf"/><Relationship Id="rId12" Type="http://schemas.openxmlformats.org/officeDocument/2006/relationships/oleObject" Target="embeddings/oleObject4.bin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30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108</TotalTime>
  <ScaleCrop>false</ScaleCrop>
  <LinksUpToDate>false</LinksUpToDate>
  <CharactersWithSpaces>0</CharactersWithSpaces>
  <Application>WPS Office_11.1.0.8525_F1E327BC-269C-435d-A152-05C5408002CA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cp:lastPrinted>2018-09-07T05:38:09Z</cp:lastPrinted>
  <dcterms:modified xsi:type="dcterms:W3CDTF">2019-03-28T02:09:13Z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2052-11.1.0.8525</vt:lpwstr>
  </property>
</Properties>
</file>